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1558B" w14:textId="4E7656F3" w:rsidR="003B68F4" w:rsidRPr="003B68F4" w:rsidRDefault="003B68F4" w:rsidP="003B68F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Pr>
          <w:rFonts w:ascii="Calibri" w:hAnsi="Calibri" w:cs="Calibri"/>
          <w:b/>
          <w:bCs/>
          <w:color w:val="000000"/>
          <w:sz w:val="20"/>
          <w:szCs w:val="20"/>
          <w:lang w:val="en-GB"/>
        </w:rPr>
        <w:t xml:space="preserve">Technical tips: Step </w:t>
      </w:r>
      <w:r w:rsidR="00232185">
        <w:rPr>
          <w:rFonts w:ascii="Calibri" w:hAnsi="Calibri" w:cs="Calibri"/>
          <w:b/>
          <w:bCs/>
          <w:color w:val="000000"/>
          <w:sz w:val="20"/>
          <w:szCs w:val="20"/>
          <w:lang w:val="en-GB"/>
        </w:rPr>
        <w:t>3</w:t>
      </w:r>
      <w:r w:rsidR="002F4A2F">
        <w:rPr>
          <w:rFonts w:ascii="Calibri" w:hAnsi="Calibri" w:cs="Calibri"/>
          <w:b/>
          <w:bCs/>
          <w:color w:val="000000"/>
          <w:sz w:val="20"/>
          <w:szCs w:val="20"/>
          <w:lang w:val="en-GB"/>
        </w:rPr>
        <w:t xml:space="preserve"> (continued)</w:t>
      </w:r>
    </w:p>
    <w:p w14:paraId="1B0B630E" w14:textId="77777777" w:rsidR="003B68F4" w:rsidRPr="003B68F4" w:rsidRDefault="003B68F4" w:rsidP="003B68F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4EE8EC53" w14:textId="2B50661B" w:rsidR="006C2654" w:rsidRPr="006C2654" w:rsidRDefault="006C2654"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6C2654">
        <w:rPr>
          <w:rFonts w:ascii="Calibri" w:hAnsi="Calibri" w:cs="Calibri"/>
          <w:b/>
          <w:bCs/>
          <w:color w:val="000000"/>
          <w:sz w:val="20"/>
          <w:szCs w:val="20"/>
          <w:lang w:val="en-GB"/>
        </w:rPr>
        <w:t>1</w:t>
      </w:r>
      <w:r w:rsidRPr="006C2654">
        <w:rPr>
          <w:rFonts w:ascii="Calibri" w:hAnsi="Calibri" w:cs="Calibri"/>
          <w:b/>
          <w:bCs/>
          <w:color w:val="000000"/>
          <w:sz w:val="20"/>
          <w:szCs w:val="20"/>
          <w:lang w:val="en-GB"/>
        </w:rPr>
        <w:t>. Computing volumes</w:t>
      </w:r>
    </w:p>
    <w:p w14:paraId="69A9797E" w14:textId="14C446BA"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Computing the volume of a mesh is, in principle, simple: Consider a triangle </w:t>
      </w:r>
      <w:proofErr w:type="spellStart"/>
      <w:r>
        <w:rPr>
          <w:rFonts w:ascii="Calibri" w:hAnsi="Calibri" w:cs="Calibri"/>
          <w:color w:val="000000"/>
          <w:sz w:val="20"/>
          <w:szCs w:val="20"/>
          <w:lang w:val="en-GB"/>
        </w:rPr>
        <w:t>t</w:t>
      </w:r>
      <w:r w:rsidRPr="006C2654">
        <w:rPr>
          <w:rFonts w:ascii="Calibri" w:hAnsi="Calibri" w:cs="Calibri"/>
          <w:color w:val="000000"/>
          <w:sz w:val="20"/>
          <w:szCs w:val="20"/>
          <w:vertAlign w:val="subscript"/>
          <w:lang w:val="en-GB"/>
        </w:rPr>
        <w:t>i</w:t>
      </w:r>
      <w:proofErr w:type="spellEnd"/>
      <w:r w:rsidRPr="006C2654">
        <w:rPr>
          <w:rFonts w:ascii="Calibri" w:hAnsi="Calibri" w:cs="Calibri"/>
          <w:color w:val="000000"/>
          <w:sz w:val="20"/>
          <w:szCs w:val="20"/>
          <w:vertAlign w:val="subscript"/>
          <w:lang w:val="en-GB"/>
        </w:rPr>
        <w:t xml:space="preserve"> </w:t>
      </w:r>
      <w:r>
        <w:rPr>
          <w:rFonts w:ascii="Calibri" w:hAnsi="Calibri" w:cs="Calibri"/>
          <w:color w:val="000000"/>
          <w:sz w:val="20"/>
          <w:szCs w:val="20"/>
          <w:lang w:val="en-GB"/>
        </w:rPr>
        <w:t>of this mesh with vertices (</w:t>
      </w:r>
      <w:r w:rsidRPr="00A868A2">
        <w:rPr>
          <w:rFonts w:ascii="Calibri" w:hAnsi="Calibri" w:cs="Calibri"/>
          <w:b/>
          <w:bCs/>
          <w:color w:val="000000"/>
          <w:sz w:val="20"/>
          <w:szCs w:val="20"/>
          <w:lang w:val="en-GB"/>
        </w:rPr>
        <w:t>x</w:t>
      </w:r>
      <w:proofErr w:type="gramStart"/>
      <w:r w:rsidRPr="006C2654">
        <w:rPr>
          <w:rFonts w:ascii="Calibri" w:hAnsi="Calibri" w:cs="Calibri"/>
          <w:color w:val="000000"/>
          <w:sz w:val="20"/>
          <w:szCs w:val="20"/>
          <w:vertAlign w:val="subscript"/>
          <w:lang w:val="en-GB"/>
        </w:rPr>
        <w:t>1</w:t>
      </w:r>
      <w:r>
        <w:rPr>
          <w:rFonts w:ascii="Calibri" w:hAnsi="Calibri" w:cs="Calibri"/>
          <w:color w:val="000000"/>
          <w:sz w:val="20"/>
          <w:szCs w:val="20"/>
          <w:lang w:val="en-GB"/>
        </w:rPr>
        <w:t>,</w:t>
      </w:r>
      <w:r w:rsidRPr="00A868A2">
        <w:rPr>
          <w:rFonts w:ascii="Calibri" w:hAnsi="Calibri" w:cs="Calibri"/>
          <w:b/>
          <w:bCs/>
          <w:color w:val="000000"/>
          <w:sz w:val="20"/>
          <w:szCs w:val="20"/>
          <w:lang w:val="en-GB"/>
        </w:rPr>
        <w:t>x</w:t>
      </w:r>
      <w:proofErr w:type="gramEnd"/>
      <w:r w:rsidRPr="006C2654">
        <w:rPr>
          <w:rFonts w:ascii="Calibri" w:hAnsi="Calibri" w:cs="Calibri"/>
          <w:color w:val="000000"/>
          <w:sz w:val="20"/>
          <w:szCs w:val="20"/>
          <w:vertAlign w:val="subscript"/>
          <w:lang w:val="en-GB"/>
        </w:rPr>
        <w:t>2</w:t>
      </w:r>
      <w:r>
        <w:rPr>
          <w:rFonts w:ascii="Calibri" w:hAnsi="Calibri" w:cs="Calibri"/>
          <w:color w:val="000000"/>
          <w:sz w:val="20"/>
          <w:szCs w:val="20"/>
          <w:lang w:val="en-GB"/>
        </w:rPr>
        <w:t>,</w:t>
      </w:r>
      <w:r w:rsidRPr="00A868A2">
        <w:rPr>
          <w:rFonts w:ascii="Calibri" w:hAnsi="Calibri" w:cs="Calibri"/>
          <w:b/>
          <w:bCs/>
          <w:color w:val="000000"/>
          <w:sz w:val="20"/>
          <w:szCs w:val="20"/>
          <w:lang w:val="en-GB"/>
        </w:rPr>
        <w:t>x</w:t>
      </w:r>
      <w:r w:rsidRPr="006C2654">
        <w:rPr>
          <w:rFonts w:ascii="Calibri" w:hAnsi="Calibri" w:cs="Calibri"/>
          <w:color w:val="000000"/>
          <w:sz w:val="20"/>
          <w:szCs w:val="20"/>
          <w:vertAlign w:val="subscript"/>
          <w:lang w:val="en-GB"/>
        </w:rPr>
        <w:t>3</w:t>
      </w:r>
      <w:r>
        <w:rPr>
          <w:rFonts w:ascii="Calibri" w:hAnsi="Calibri" w:cs="Calibri"/>
          <w:color w:val="000000"/>
          <w:sz w:val="20"/>
          <w:szCs w:val="20"/>
          <w:lang w:val="en-GB"/>
        </w:rPr>
        <w:t xml:space="preserve">). Consider a separate reference point, e.g. the mesh barycentre </w:t>
      </w:r>
      <w:r w:rsidRPr="00A868A2">
        <w:rPr>
          <w:rFonts w:ascii="Calibri" w:hAnsi="Calibri" w:cs="Calibri"/>
          <w:b/>
          <w:bCs/>
          <w:color w:val="000000"/>
          <w:sz w:val="20"/>
          <w:szCs w:val="20"/>
          <w:lang w:val="en-GB"/>
        </w:rPr>
        <w:t>o</w:t>
      </w:r>
      <w:r>
        <w:rPr>
          <w:rFonts w:ascii="Calibri" w:hAnsi="Calibri" w:cs="Calibri"/>
          <w:color w:val="000000"/>
          <w:sz w:val="20"/>
          <w:szCs w:val="20"/>
          <w:lang w:val="en-GB"/>
        </w:rPr>
        <w:t>. Then, the volume enclosed by the mesh is given by</w:t>
      </w:r>
    </w:p>
    <w:p w14:paraId="61A6E66D" w14:textId="67015AC9"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3A04B68C" w14:textId="74997574"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sidRPr="006C2654">
        <w:rPr>
          <w:rFonts w:ascii="Calibri" w:hAnsi="Calibri" w:cs="Calibri"/>
          <w:color w:val="000000"/>
          <w:sz w:val="20"/>
          <w:szCs w:val="20"/>
          <w:lang w:val="en-GB"/>
        </w:rPr>
        <w:drawing>
          <wp:inline distT="0" distB="0" distL="0" distR="0" wp14:anchorId="3E3BE13F" wp14:editId="3BADFF2A">
            <wp:extent cx="1588576" cy="676523"/>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25730" cy="692346"/>
                    </a:xfrm>
                    <a:prstGeom prst="rect">
                      <a:avLst/>
                    </a:prstGeom>
                  </pic:spPr>
                </pic:pic>
              </a:graphicData>
            </a:graphic>
          </wp:inline>
        </w:drawing>
      </w:r>
    </w:p>
    <w:p w14:paraId="5758A611" w14:textId="2E21A0FC"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where </w:t>
      </w:r>
      <w:r w:rsidRPr="00A868A2">
        <w:rPr>
          <w:rFonts w:ascii="Calibri" w:hAnsi="Calibri" w:cs="Calibri"/>
          <w:b/>
          <w:bCs/>
          <w:color w:val="000000"/>
          <w:sz w:val="20"/>
          <w:szCs w:val="20"/>
          <w:lang w:val="en-GB"/>
        </w:rPr>
        <w:t>v</w:t>
      </w:r>
      <w:r w:rsidRPr="006C2654">
        <w:rPr>
          <w:rFonts w:ascii="Calibri" w:hAnsi="Calibri" w:cs="Calibri"/>
          <w:color w:val="000000"/>
          <w:sz w:val="20"/>
          <w:szCs w:val="20"/>
          <w:vertAlign w:val="subscript"/>
          <w:lang w:val="en-GB"/>
        </w:rPr>
        <w:t>1</w:t>
      </w:r>
      <w:r>
        <w:rPr>
          <w:rFonts w:ascii="Calibri" w:hAnsi="Calibri" w:cs="Calibri"/>
          <w:color w:val="000000"/>
          <w:sz w:val="20"/>
          <w:szCs w:val="20"/>
          <w:lang w:val="en-GB"/>
        </w:rPr>
        <w:t xml:space="preserve"> = </w:t>
      </w:r>
      <w:r w:rsidRPr="00A868A2">
        <w:rPr>
          <w:rFonts w:ascii="Calibri" w:hAnsi="Calibri" w:cs="Calibri"/>
          <w:b/>
          <w:bCs/>
          <w:color w:val="000000"/>
          <w:sz w:val="20"/>
          <w:szCs w:val="20"/>
          <w:lang w:val="en-GB"/>
        </w:rPr>
        <w:t>x</w:t>
      </w:r>
      <w:r w:rsidRPr="006C2654">
        <w:rPr>
          <w:rFonts w:ascii="Calibri" w:hAnsi="Calibri" w:cs="Calibri"/>
          <w:color w:val="000000"/>
          <w:sz w:val="20"/>
          <w:szCs w:val="20"/>
          <w:vertAlign w:val="subscript"/>
          <w:lang w:val="en-GB"/>
        </w:rPr>
        <w:t>1</w:t>
      </w:r>
      <w:r>
        <w:rPr>
          <w:rFonts w:ascii="Calibri" w:hAnsi="Calibri" w:cs="Calibri"/>
          <w:color w:val="000000"/>
          <w:sz w:val="20"/>
          <w:szCs w:val="20"/>
          <w:lang w:val="en-GB"/>
        </w:rPr>
        <w:t>-</w:t>
      </w:r>
      <w:r w:rsidRPr="00A868A2">
        <w:rPr>
          <w:rFonts w:ascii="Calibri" w:hAnsi="Calibri" w:cs="Calibri"/>
          <w:b/>
          <w:bCs/>
          <w:color w:val="000000"/>
          <w:sz w:val="20"/>
          <w:szCs w:val="20"/>
          <w:lang w:val="en-GB"/>
        </w:rPr>
        <w:t>o</w:t>
      </w:r>
      <w:r>
        <w:rPr>
          <w:rFonts w:ascii="Calibri" w:hAnsi="Calibri" w:cs="Calibri"/>
          <w:color w:val="000000"/>
          <w:sz w:val="20"/>
          <w:szCs w:val="20"/>
          <w:lang w:val="en-GB"/>
        </w:rPr>
        <w:t>, v</w:t>
      </w:r>
      <w:r>
        <w:rPr>
          <w:rFonts w:ascii="Calibri" w:hAnsi="Calibri" w:cs="Calibri"/>
          <w:color w:val="000000"/>
          <w:sz w:val="20"/>
          <w:szCs w:val="20"/>
          <w:vertAlign w:val="subscript"/>
          <w:lang w:val="en-GB"/>
        </w:rPr>
        <w:t>2</w:t>
      </w:r>
      <w:r>
        <w:rPr>
          <w:rFonts w:ascii="Calibri" w:hAnsi="Calibri" w:cs="Calibri"/>
          <w:color w:val="000000"/>
          <w:sz w:val="20"/>
          <w:szCs w:val="20"/>
          <w:lang w:val="en-GB"/>
        </w:rPr>
        <w:t xml:space="preserve">= </w:t>
      </w:r>
      <w:r w:rsidRPr="00A868A2">
        <w:rPr>
          <w:rFonts w:ascii="Calibri" w:hAnsi="Calibri" w:cs="Calibri"/>
          <w:b/>
          <w:bCs/>
          <w:color w:val="000000"/>
          <w:sz w:val="20"/>
          <w:szCs w:val="20"/>
          <w:lang w:val="en-GB"/>
        </w:rPr>
        <w:t>x</w:t>
      </w:r>
      <w:r>
        <w:rPr>
          <w:rFonts w:ascii="Calibri" w:hAnsi="Calibri" w:cs="Calibri"/>
          <w:color w:val="000000"/>
          <w:sz w:val="20"/>
          <w:szCs w:val="20"/>
          <w:vertAlign w:val="subscript"/>
          <w:lang w:val="en-GB"/>
        </w:rPr>
        <w:t>2</w:t>
      </w:r>
      <w:r>
        <w:rPr>
          <w:rFonts w:ascii="Calibri" w:hAnsi="Calibri" w:cs="Calibri"/>
          <w:color w:val="000000"/>
          <w:sz w:val="20"/>
          <w:szCs w:val="20"/>
          <w:lang w:val="en-GB"/>
        </w:rPr>
        <w:t>-</w:t>
      </w:r>
      <w:r w:rsidRPr="00A868A2">
        <w:rPr>
          <w:rFonts w:ascii="Calibri" w:hAnsi="Calibri" w:cs="Calibri"/>
          <w:b/>
          <w:bCs/>
          <w:color w:val="000000"/>
          <w:sz w:val="20"/>
          <w:szCs w:val="20"/>
          <w:lang w:val="en-GB"/>
        </w:rPr>
        <w:t>o</w:t>
      </w:r>
      <w:r>
        <w:rPr>
          <w:rFonts w:ascii="Calibri" w:hAnsi="Calibri" w:cs="Calibri"/>
          <w:color w:val="000000"/>
          <w:sz w:val="20"/>
          <w:szCs w:val="20"/>
          <w:lang w:val="en-GB"/>
        </w:rPr>
        <w:t xml:space="preserve">, and </w:t>
      </w:r>
      <w:r w:rsidRPr="00A868A2">
        <w:rPr>
          <w:rFonts w:ascii="Calibri" w:hAnsi="Calibri" w:cs="Calibri"/>
          <w:b/>
          <w:bCs/>
          <w:color w:val="000000"/>
          <w:sz w:val="20"/>
          <w:szCs w:val="20"/>
          <w:lang w:val="en-GB"/>
        </w:rPr>
        <w:t>v</w:t>
      </w:r>
      <w:r>
        <w:rPr>
          <w:rFonts w:ascii="Calibri" w:hAnsi="Calibri" w:cs="Calibri"/>
          <w:color w:val="000000"/>
          <w:sz w:val="20"/>
          <w:szCs w:val="20"/>
          <w:vertAlign w:val="subscript"/>
          <w:lang w:val="en-GB"/>
        </w:rPr>
        <w:t>3</w:t>
      </w:r>
      <w:r>
        <w:rPr>
          <w:rFonts w:ascii="Calibri" w:hAnsi="Calibri" w:cs="Calibri"/>
          <w:color w:val="000000"/>
          <w:sz w:val="20"/>
          <w:szCs w:val="20"/>
          <w:lang w:val="en-GB"/>
        </w:rPr>
        <w:t xml:space="preserve"> = </w:t>
      </w:r>
      <w:r w:rsidRPr="00A868A2">
        <w:rPr>
          <w:rFonts w:ascii="Calibri" w:hAnsi="Calibri" w:cs="Calibri"/>
          <w:b/>
          <w:bCs/>
          <w:color w:val="000000"/>
          <w:sz w:val="20"/>
          <w:szCs w:val="20"/>
          <w:lang w:val="en-GB"/>
        </w:rPr>
        <w:t>x</w:t>
      </w:r>
      <w:r>
        <w:rPr>
          <w:rFonts w:ascii="Calibri" w:hAnsi="Calibri" w:cs="Calibri"/>
          <w:color w:val="000000"/>
          <w:sz w:val="20"/>
          <w:szCs w:val="20"/>
          <w:vertAlign w:val="subscript"/>
          <w:lang w:val="en-GB"/>
        </w:rPr>
        <w:t>3</w:t>
      </w:r>
      <w:r>
        <w:rPr>
          <w:rFonts w:ascii="Calibri" w:hAnsi="Calibri" w:cs="Calibri"/>
          <w:color w:val="000000"/>
          <w:sz w:val="20"/>
          <w:szCs w:val="20"/>
          <w:lang w:val="en-GB"/>
        </w:rPr>
        <w:t>-</w:t>
      </w:r>
      <w:r w:rsidRPr="00A868A2">
        <w:rPr>
          <w:rFonts w:ascii="Calibri" w:hAnsi="Calibri" w:cs="Calibri"/>
          <w:b/>
          <w:bCs/>
          <w:color w:val="000000"/>
          <w:sz w:val="20"/>
          <w:szCs w:val="20"/>
          <w:lang w:val="en-GB"/>
        </w:rPr>
        <w:t>o</w:t>
      </w:r>
      <w:r>
        <w:rPr>
          <w:rFonts w:ascii="Calibri" w:hAnsi="Calibri" w:cs="Calibri"/>
          <w:color w:val="000000"/>
          <w:sz w:val="20"/>
          <w:szCs w:val="20"/>
          <w:lang w:val="en-GB"/>
        </w:rPr>
        <w:t>.</w:t>
      </w:r>
    </w:p>
    <w:p w14:paraId="5FFA229D" w14:textId="6E9883F3"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This formula works also for meshes with concavities or with </w:t>
      </w:r>
      <w:r w:rsidRPr="006C2654">
        <w:rPr>
          <w:rFonts w:ascii="Calibri" w:hAnsi="Calibri" w:cs="Calibri"/>
          <w:i/>
          <w:iCs/>
          <w:color w:val="000000"/>
          <w:sz w:val="20"/>
          <w:szCs w:val="20"/>
          <w:lang w:val="en-GB"/>
        </w:rPr>
        <w:t>tunnels</w:t>
      </w:r>
      <w:r>
        <w:rPr>
          <w:rFonts w:ascii="Calibri" w:hAnsi="Calibri" w:cs="Calibri"/>
          <w:color w:val="000000"/>
          <w:sz w:val="20"/>
          <w:szCs w:val="20"/>
          <w:lang w:val="en-GB"/>
        </w:rPr>
        <w:t xml:space="preserve"> (a doughnut is a mesh with a tunnel in the middle; don’t confuse this with </w:t>
      </w:r>
      <w:r w:rsidRPr="006C2654">
        <w:rPr>
          <w:rFonts w:ascii="Calibri" w:hAnsi="Calibri" w:cs="Calibri"/>
          <w:i/>
          <w:iCs/>
          <w:color w:val="000000"/>
          <w:sz w:val="20"/>
          <w:szCs w:val="20"/>
          <w:lang w:val="en-GB"/>
        </w:rPr>
        <w:t>holes</w:t>
      </w:r>
      <w:r>
        <w:rPr>
          <w:rFonts w:ascii="Calibri" w:hAnsi="Calibri" w:cs="Calibri"/>
          <w:color w:val="000000"/>
          <w:sz w:val="20"/>
          <w:szCs w:val="20"/>
          <w:lang w:val="en-GB"/>
        </w:rPr>
        <w:t xml:space="preserve"> which are discussed next).</w:t>
      </w:r>
    </w:p>
    <w:p w14:paraId="5A94168E" w14:textId="1B1717D6"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There are however two problems in applying this formula directly:</w:t>
      </w:r>
    </w:p>
    <w:p w14:paraId="3D03F73A" w14:textId="77777777" w:rsidR="006C2654" w:rsidRDefault="006C2654"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p>
    <w:p w14:paraId="1FB708E4" w14:textId="2539FF4D" w:rsidR="006C2654" w:rsidRPr="006C2654" w:rsidRDefault="006C2654"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6C2654">
        <w:rPr>
          <w:rFonts w:ascii="Calibri" w:hAnsi="Calibri" w:cs="Calibri"/>
          <w:b/>
          <w:bCs/>
          <w:color w:val="000000"/>
          <w:sz w:val="20"/>
          <w:szCs w:val="20"/>
          <w:lang w:val="en-GB"/>
        </w:rPr>
        <w:t>(1) Consistently oriented meshes</w:t>
      </w:r>
    </w:p>
    <w:p w14:paraId="1967FDED" w14:textId="59E5480A"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For the above volume estimation to work, the triangles of the mesh must all be consistently oriented, i.e. with </w:t>
      </w:r>
      <w:proofErr w:type="spellStart"/>
      <w:r>
        <w:rPr>
          <w:rFonts w:ascii="Calibri" w:hAnsi="Calibri" w:cs="Calibri"/>
          <w:color w:val="000000"/>
          <w:sz w:val="20"/>
          <w:szCs w:val="20"/>
          <w:lang w:val="en-GB"/>
        </w:rPr>
        <w:t>normals</w:t>
      </w:r>
      <w:proofErr w:type="spellEnd"/>
      <w:r>
        <w:rPr>
          <w:rFonts w:ascii="Calibri" w:hAnsi="Calibri" w:cs="Calibri"/>
          <w:color w:val="000000"/>
          <w:sz w:val="20"/>
          <w:szCs w:val="20"/>
          <w:lang w:val="en-GB"/>
        </w:rPr>
        <w:t xml:space="preserve"> pointing all outwards or inwards. If not, then some of the tetrahedra volumes may be </w:t>
      </w:r>
      <w:r>
        <w:rPr>
          <w:rFonts w:ascii="Calibri" w:hAnsi="Calibri" w:cs="Calibri"/>
          <w:i/>
          <w:iCs/>
          <w:color w:val="000000"/>
          <w:sz w:val="20"/>
          <w:szCs w:val="20"/>
          <w:lang w:val="en-GB"/>
        </w:rPr>
        <w:t>subtracted</w:t>
      </w:r>
      <w:r>
        <w:rPr>
          <w:rFonts w:ascii="Calibri" w:hAnsi="Calibri" w:cs="Calibri"/>
          <w:color w:val="000000"/>
          <w:sz w:val="20"/>
          <w:szCs w:val="20"/>
          <w:lang w:val="en-GB"/>
        </w:rPr>
        <w:t xml:space="preserve"> when they need to be added, leading to a final </w:t>
      </w:r>
      <w:r>
        <w:rPr>
          <w:rFonts w:ascii="Calibri" w:hAnsi="Calibri" w:cs="Calibri"/>
          <w:i/>
          <w:iCs/>
          <w:color w:val="000000"/>
          <w:sz w:val="20"/>
          <w:szCs w:val="20"/>
          <w:lang w:val="en-GB"/>
        </w:rPr>
        <w:t>smaller</w:t>
      </w:r>
      <w:r>
        <w:rPr>
          <w:rFonts w:ascii="Calibri" w:hAnsi="Calibri" w:cs="Calibri"/>
          <w:color w:val="000000"/>
          <w:sz w:val="20"/>
          <w:szCs w:val="20"/>
          <w:lang w:val="en-GB"/>
        </w:rPr>
        <w:t xml:space="preserve"> volume than expected. See the technical tips step 3 (previous document) for ways to check and fix triangle orientations.</w:t>
      </w:r>
    </w:p>
    <w:p w14:paraId="4C098B83" w14:textId="5A7F43D3" w:rsidR="006C2654" w:rsidRPr="006C2654" w:rsidRDefault="006C2654"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6C2654">
        <w:rPr>
          <w:rFonts w:ascii="Calibri" w:hAnsi="Calibri" w:cs="Calibri"/>
          <w:b/>
          <w:bCs/>
          <w:color w:val="000000"/>
          <w:sz w:val="20"/>
          <w:szCs w:val="20"/>
          <w:lang w:val="en-GB"/>
        </w:rPr>
        <w:t>(2) Meshes without holes</w:t>
      </w:r>
    </w:p>
    <w:p w14:paraId="6B2B1272" w14:textId="4068C3BA" w:rsidR="006C2654"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A hole in a mesh </w:t>
      </w:r>
      <w:r w:rsidR="00A868A2">
        <w:rPr>
          <w:rFonts w:ascii="Calibri" w:hAnsi="Calibri" w:cs="Calibri"/>
          <w:color w:val="000000"/>
          <w:sz w:val="20"/>
          <w:szCs w:val="20"/>
          <w:lang w:val="en-GB"/>
        </w:rPr>
        <w:t xml:space="preserve">means that there are triangles whose edges are not shared by </w:t>
      </w:r>
      <w:r w:rsidR="00A868A2">
        <w:rPr>
          <w:rFonts w:ascii="Calibri" w:hAnsi="Calibri" w:cs="Calibri"/>
          <w:i/>
          <w:iCs/>
          <w:color w:val="000000"/>
          <w:sz w:val="20"/>
          <w:szCs w:val="20"/>
          <w:lang w:val="en-GB"/>
        </w:rPr>
        <w:t>exactly two</w:t>
      </w:r>
      <w:r w:rsidR="00A868A2">
        <w:rPr>
          <w:rFonts w:ascii="Calibri" w:hAnsi="Calibri" w:cs="Calibri"/>
          <w:color w:val="000000"/>
          <w:sz w:val="20"/>
          <w:szCs w:val="20"/>
          <w:lang w:val="en-GB"/>
        </w:rPr>
        <w:t xml:space="preserve"> triangles. More precisely, such edges are part of a single triangle. We call these </w:t>
      </w:r>
      <w:r w:rsidR="00A868A2">
        <w:rPr>
          <w:rFonts w:ascii="Calibri" w:hAnsi="Calibri" w:cs="Calibri"/>
          <w:i/>
          <w:iCs/>
          <w:color w:val="000000"/>
          <w:sz w:val="20"/>
          <w:szCs w:val="20"/>
          <w:lang w:val="en-GB"/>
        </w:rPr>
        <w:t>boundary</w:t>
      </w:r>
      <w:r w:rsidR="00A868A2">
        <w:rPr>
          <w:rFonts w:ascii="Calibri" w:hAnsi="Calibri" w:cs="Calibri"/>
          <w:color w:val="000000"/>
          <w:sz w:val="20"/>
          <w:szCs w:val="20"/>
          <w:lang w:val="en-GB"/>
        </w:rPr>
        <w:t xml:space="preserve"> edges. A set of connected boundary edges forms a </w:t>
      </w:r>
      <w:r w:rsidR="00A868A2">
        <w:rPr>
          <w:rFonts w:ascii="Calibri" w:hAnsi="Calibri" w:cs="Calibri"/>
          <w:i/>
          <w:iCs/>
          <w:color w:val="000000"/>
          <w:sz w:val="20"/>
          <w:szCs w:val="20"/>
          <w:lang w:val="en-GB"/>
        </w:rPr>
        <w:t>hole</w:t>
      </w:r>
      <w:r w:rsidR="00A868A2">
        <w:rPr>
          <w:rFonts w:ascii="Calibri" w:hAnsi="Calibri" w:cs="Calibri"/>
          <w:color w:val="000000"/>
          <w:sz w:val="20"/>
          <w:szCs w:val="20"/>
          <w:lang w:val="en-GB"/>
        </w:rPr>
        <w:t xml:space="preserve"> in the mesh. Intuitively, a mesh with holes is not watertight: If we were to fill it with water, the water would run out through one or more holes.</w:t>
      </w:r>
    </w:p>
    <w:p w14:paraId="0E299DD3" w14:textId="4D156DB5" w:rsidR="00A868A2" w:rsidRDefault="00A868A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If we have </w:t>
      </w:r>
      <w:proofErr w:type="gramStart"/>
      <w:r>
        <w:rPr>
          <w:rFonts w:ascii="Calibri" w:hAnsi="Calibri" w:cs="Calibri"/>
          <w:color w:val="000000"/>
          <w:sz w:val="20"/>
          <w:szCs w:val="20"/>
          <w:lang w:val="en-GB"/>
        </w:rPr>
        <w:t>meshes</w:t>
      </w:r>
      <w:proofErr w:type="gramEnd"/>
      <w:r>
        <w:rPr>
          <w:rFonts w:ascii="Calibri" w:hAnsi="Calibri" w:cs="Calibri"/>
          <w:color w:val="000000"/>
          <w:sz w:val="20"/>
          <w:szCs w:val="20"/>
          <w:lang w:val="en-GB"/>
        </w:rPr>
        <w:t xml:space="preserve"> with holes, and estimate their volume by the above formula, the obtained volume will be </w:t>
      </w:r>
      <w:r>
        <w:rPr>
          <w:rFonts w:ascii="Calibri" w:hAnsi="Calibri" w:cs="Calibri"/>
          <w:i/>
          <w:iCs/>
          <w:color w:val="000000"/>
          <w:sz w:val="20"/>
          <w:szCs w:val="20"/>
          <w:lang w:val="en-GB"/>
        </w:rPr>
        <w:t>smaller</w:t>
      </w:r>
      <w:r>
        <w:rPr>
          <w:rFonts w:ascii="Calibri" w:hAnsi="Calibri" w:cs="Calibri"/>
          <w:color w:val="000000"/>
          <w:sz w:val="20"/>
          <w:szCs w:val="20"/>
          <w:lang w:val="en-GB"/>
        </w:rPr>
        <w:t xml:space="preserve"> than the volume of the mesh where the hole would be stitched. More precisely, we would miss the volume of a cone-like shape whose base is the hole boundary and the apex is the point </w:t>
      </w:r>
      <w:r w:rsidRPr="00A868A2">
        <w:rPr>
          <w:rFonts w:ascii="Calibri" w:hAnsi="Calibri" w:cs="Calibri"/>
          <w:b/>
          <w:bCs/>
          <w:color w:val="000000"/>
          <w:sz w:val="20"/>
          <w:szCs w:val="20"/>
          <w:lang w:val="en-GB"/>
        </w:rPr>
        <w:t>o</w:t>
      </w:r>
      <w:r>
        <w:rPr>
          <w:rFonts w:ascii="Calibri" w:hAnsi="Calibri" w:cs="Calibri"/>
          <w:color w:val="000000"/>
          <w:sz w:val="20"/>
          <w:szCs w:val="20"/>
          <w:lang w:val="en-GB"/>
        </w:rPr>
        <w:t>. See the images below:</w:t>
      </w:r>
    </w:p>
    <w:p w14:paraId="2CC5E1DE" w14:textId="3E76D678" w:rsidR="00A868A2" w:rsidRDefault="00A868A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700E84BF" w14:textId="37BD7521" w:rsidR="00A868A2" w:rsidRDefault="00A868A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sidRPr="00A868A2">
        <w:rPr>
          <w:rFonts w:ascii="Calibri" w:hAnsi="Calibri" w:cs="Calibri"/>
          <w:color w:val="000000"/>
          <w:sz w:val="20"/>
          <w:szCs w:val="20"/>
          <w:lang w:val="en-GB"/>
        </w:rPr>
        <w:lastRenderedPageBreak/>
        <w:drawing>
          <wp:inline distT="0" distB="0" distL="0" distR="0" wp14:anchorId="03F173C2" wp14:editId="6F070736">
            <wp:extent cx="2417736" cy="2103139"/>
            <wp:effectExtent l="0" t="0" r="0" b="5080"/>
            <wp:docPr id="2" name="Picture 2" descr="A picture containing shaped, toy, decorat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3329" cy="2125402"/>
                    </a:xfrm>
                    <a:prstGeom prst="rect">
                      <a:avLst/>
                    </a:prstGeom>
                  </pic:spPr>
                </pic:pic>
              </a:graphicData>
            </a:graphic>
          </wp:inline>
        </w:drawing>
      </w:r>
      <w:r w:rsidRPr="00A868A2">
        <w:rPr>
          <w:rFonts w:ascii="Calibri" w:hAnsi="Calibri" w:cs="Calibri"/>
          <w:color w:val="000000"/>
          <w:sz w:val="20"/>
          <w:szCs w:val="20"/>
          <w:lang w:val="en-GB"/>
        </w:rPr>
        <w:drawing>
          <wp:inline distT="0" distB="0" distL="0" distR="0" wp14:anchorId="7A434D6C" wp14:editId="0447AF1C">
            <wp:extent cx="2417445" cy="2102886"/>
            <wp:effectExtent l="0" t="0" r="0" b="5715"/>
            <wp:docPr id="3" name="Picture 3" descr="A picture containing toy, shaped, decorated,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4026" cy="2126008"/>
                    </a:xfrm>
                    <a:prstGeom prst="rect">
                      <a:avLst/>
                    </a:prstGeom>
                  </pic:spPr>
                </pic:pic>
              </a:graphicData>
            </a:graphic>
          </wp:inline>
        </w:drawing>
      </w:r>
    </w:p>
    <w:p w14:paraId="51072F9B" w14:textId="77777777" w:rsidR="00A868A2" w:rsidRPr="00A868A2" w:rsidRDefault="00A868A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2D393FDD" w14:textId="6EDC1001" w:rsidR="006C2654" w:rsidRDefault="00A868A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How can we fix such problems?</w:t>
      </w:r>
    </w:p>
    <w:p w14:paraId="0B5EF9B7" w14:textId="0FCBD33F" w:rsidR="00A868A2" w:rsidRDefault="00A868A2" w:rsidP="00A868A2">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sidRPr="00A868A2">
        <w:rPr>
          <w:rFonts w:ascii="Calibri" w:hAnsi="Calibri" w:cs="Calibri"/>
          <w:b/>
          <w:bCs/>
          <w:color w:val="000000"/>
          <w:sz w:val="20"/>
          <w:szCs w:val="20"/>
          <w:lang w:val="en-GB"/>
        </w:rPr>
        <w:t>Detect:</w:t>
      </w:r>
      <w:r>
        <w:rPr>
          <w:rFonts w:ascii="Calibri" w:hAnsi="Calibri" w:cs="Calibri"/>
          <w:color w:val="000000"/>
          <w:sz w:val="20"/>
          <w:szCs w:val="20"/>
          <w:lang w:val="en-GB"/>
        </w:rPr>
        <w:t xml:space="preserve"> First, check if there are holes. Iterate over all triangles in the mesh. List their edges and check if each edge appears in exactly one other triangle. Edges which appear in only one triangle form the boundaries of one or more holes.</w:t>
      </w:r>
    </w:p>
    <w:p w14:paraId="1973DA80" w14:textId="3CE6AC54" w:rsidR="00A868A2" w:rsidRDefault="00605234" w:rsidP="00A868A2">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b/>
          <w:bCs/>
          <w:color w:val="000000"/>
          <w:sz w:val="20"/>
          <w:szCs w:val="20"/>
          <w:lang w:val="en-GB"/>
        </w:rPr>
        <w:t xml:space="preserve">Stitch holes: </w:t>
      </w:r>
      <w:r w:rsidR="002E0BB9">
        <w:rPr>
          <w:rFonts w:ascii="Calibri" w:hAnsi="Calibri" w:cs="Calibri"/>
          <w:color w:val="000000"/>
          <w:sz w:val="20"/>
          <w:szCs w:val="20"/>
          <w:lang w:val="en-GB"/>
        </w:rPr>
        <w:t>If there are holes, find their boundaries. For this, search for edges (in the above-detected set) which connect to each other (like (</w:t>
      </w:r>
      <w:r w:rsidR="002A4216" w:rsidRPr="00A868A2">
        <w:rPr>
          <w:rFonts w:ascii="Calibri" w:hAnsi="Calibri" w:cs="Calibri"/>
          <w:b/>
          <w:bCs/>
          <w:color w:val="000000"/>
          <w:sz w:val="20"/>
          <w:szCs w:val="20"/>
          <w:lang w:val="en-GB"/>
        </w:rPr>
        <w:t>v</w:t>
      </w:r>
      <w:r w:rsidR="002A4216" w:rsidRPr="006C2654">
        <w:rPr>
          <w:rFonts w:ascii="Calibri" w:hAnsi="Calibri" w:cs="Calibri"/>
          <w:color w:val="000000"/>
          <w:sz w:val="20"/>
          <w:szCs w:val="20"/>
          <w:vertAlign w:val="subscript"/>
          <w:lang w:val="en-GB"/>
        </w:rPr>
        <w:t>1</w:t>
      </w:r>
      <w:r w:rsidR="002E0BB9">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r w:rsidR="002A4216" w:rsidRPr="00A868A2">
        <w:rPr>
          <w:rFonts w:ascii="Calibri" w:hAnsi="Calibri" w:cs="Calibri"/>
          <w:b/>
          <w:bCs/>
          <w:color w:val="000000"/>
          <w:sz w:val="20"/>
          <w:szCs w:val="20"/>
          <w:lang w:val="en-GB"/>
        </w:rPr>
        <w:t>v</w:t>
      </w:r>
      <w:proofErr w:type="gramStart"/>
      <w:r w:rsidR="002A4216">
        <w:rPr>
          <w:rFonts w:ascii="Calibri" w:hAnsi="Calibri" w:cs="Calibri"/>
          <w:color w:val="000000"/>
          <w:sz w:val="20"/>
          <w:szCs w:val="20"/>
          <w:vertAlign w:val="subscript"/>
          <w:lang w:val="en-GB"/>
        </w:rPr>
        <w:t>2</w:t>
      </w:r>
      <w:r w:rsidR="002E0BB9">
        <w:rPr>
          <w:rFonts w:ascii="Calibri" w:hAnsi="Calibri" w:cs="Calibri"/>
          <w:color w:val="000000"/>
          <w:sz w:val="20"/>
          <w:szCs w:val="20"/>
          <w:lang w:val="en-GB"/>
        </w:rPr>
        <w:t>)(</w:t>
      </w:r>
      <w:proofErr w:type="gramEnd"/>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2</w:t>
      </w:r>
      <w:r w:rsidR="002E0BB9">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3</w:t>
      </w:r>
      <w:r w:rsidR="002E0BB9">
        <w:rPr>
          <w:rFonts w:ascii="Calibri" w:hAnsi="Calibri" w:cs="Calibri"/>
          <w:color w:val="000000"/>
          <w:sz w:val="20"/>
          <w:szCs w:val="20"/>
          <w:lang w:val="en-GB"/>
        </w:rPr>
        <w:t>)…(</w:t>
      </w:r>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n</w:t>
      </w:r>
      <w:r w:rsidR="002E0BB9">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r w:rsidR="002A4216" w:rsidRPr="00A868A2">
        <w:rPr>
          <w:rFonts w:ascii="Calibri" w:hAnsi="Calibri" w:cs="Calibri"/>
          <w:b/>
          <w:bCs/>
          <w:color w:val="000000"/>
          <w:sz w:val="20"/>
          <w:szCs w:val="20"/>
          <w:lang w:val="en-GB"/>
        </w:rPr>
        <w:t>v</w:t>
      </w:r>
      <w:r w:rsidR="002A4216" w:rsidRPr="006C2654">
        <w:rPr>
          <w:rFonts w:ascii="Calibri" w:hAnsi="Calibri" w:cs="Calibri"/>
          <w:color w:val="000000"/>
          <w:sz w:val="20"/>
          <w:szCs w:val="20"/>
          <w:vertAlign w:val="subscript"/>
          <w:lang w:val="en-GB"/>
        </w:rPr>
        <w:t>1</w:t>
      </w:r>
      <w:r w:rsidR="002E0BB9">
        <w:rPr>
          <w:rFonts w:ascii="Calibri" w:hAnsi="Calibri" w:cs="Calibri"/>
          <w:color w:val="000000"/>
          <w:sz w:val="20"/>
          <w:szCs w:val="20"/>
          <w:lang w:val="en-GB"/>
        </w:rPr>
        <w:t>)). The set of vertices (</w:t>
      </w:r>
      <w:r w:rsidR="002A4216" w:rsidRPr="00A868A2">
        <w:rPr>
          <w:rFonts w:ascii="Calibri" w:hAnsi="Calibri" w:cs="Calibri"/>
          <w:b/>
          <w:bCs/>
          <w:color w:val="000000"/>
          <w:sz w:val="20"/>
          <w:szCs w:val="20"/>
          <w:lang w:val="en-GB"/>
        </w:rPr>
        <w:t>v</w:t>
      </w:r>
      <w:r w:rsidR="002A4216" w:rsidRPr="006C2654">
        <w:rPr>
          <w:rFonts w:ascii="Calibri" w:hAnsi="Calibri" w:cs="Calibri"/>
          <w:color w:val="000000"/>
          <w:sz w:val="20"/>
          <w:szCs w:val="20"/>
          <w:vertAlign w:val="subscript"/>
          <w:lang w:val="en-GB"/>
        </w:rPr>
        <w:t>1</w:t>
      </w:r>
      <w:r w:rsidR="002E0BB9">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r w:rsidR="002A4216" w:rsidRPr="00A868A2">
        <w:rPr>
          <w:rFonts w:ascii="Calibri" w:hAnsi="Calibri" w:cs="Calibri"/>
          <w:b/>
          <w:bCs/>
          <w:color w:val="000000"/>
          <w:sz w:val="20"/>
          <w:szCs w:val="20"/>
          <w:lang w:val="en-GB"/>
        </w:rPr>
        <w:t>v</w:t>
      </w:r>
      <w:proofErr w:type="gramStart"/>
      <w:r w:rsidR="002A4216">
        <w:rPr>
          <w:rFonts w:ascii="Calibri" w:hAnsi="Calibri" w:cs="Calibri"/>
          <w:color w:val="000000"/>
          <w:sz w:val="20"/>
          <w:szCs w:val="20"/>
          <w:vertAlign w:val="subscript"/>
          <w:lang w:val="en-GB"/>
        </w:rPr>
        <w:t>2</w:t>
      </w:r>
      <w:r w:rsidR="002E0BB9">
        <w:rPr>
          <w:rFonts w:ascii="Calibri" w:hAnsi="Calibri" w:cs="Calibri"/>
          <w:color w:val="000000"/>
          <w:sz w:val="20"/>
          <w:szCs w:val="20"/>
          <w:lang w:val="en-GB"/>
        </w:rPr>
        <w:t>,…</w:t>
      </w:r>
      <w:proofErr w:type="gramEnd"/>
      <w:r w:rsidR="002E0BB9">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proofErr w:type="spellStart"/>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n</w:t>
      </w:r>
      <w:proofErr w:type="spellEnd"/>
      <w:r w:rsidR="002E0BB9">
        <w:rPr>
          <w:rFonts w:ascii="Calibri" w:hAnsi="Calibri" w:cs="Calibri"/>
          <w:color w:val="000000"/>
          <w:sz w:val="20"/>
          <w:szCs w:val="20"/>
          <w:lang w:val="en-GB"/>
        </w:rPr>
        <w:t>) forms then the closed boundary of a hole. There can be several such holes in a mesh.</w:t>
      </w:r>
      <w:r>
        <w:rPr>
          <w:rFonts w:ascii="Calibri" w:hAnsi="Calibri" w:cs="Calibri"/>
          <w:color w:val="000000"/>
          <w:sz w:val="20"/>
          <w:szCs w:val="20"/>
          <w:lang w:val="en-GB"/>
        </w:rPr>
        <w:t xml:space="preserve"> For each such hole, compute the barycentre </w:t>
      </w:r>
      <w:r w:rsidRPr="002A4216">
        <w:rPr>
          <w:rFonts w:ascii="Calibri" w:hAnsi="Calibri" w:cs="Calibri"/>
          <w:b/>
          <w:bCs/>
          <w:color w:val="000000"/>
          <w:sz w:val="20"/>
          <w:szCs w:val="20"/>
          <w:lang w:val="en-GB"/>
        </w:rPr>
        <w:t>c</w:t>
      </w:r>
      <w:r>
        <w:rPr>
          <w:rFonts w:ascii="Calibri" w:hAnsi="Calibri" w:cs="Calibri"/>
          <w:color w:val="000000"/>
          <w:sz w:val="20"/>
          <w:szCs w:val="20"/>
          <w:lang w:val="en-GB"/>
        </w:rPr>
        <w:t xml:space="preserve"> of its vertices vi. Then, add to the mesh the triangle fan formed by triangles having</w:t>
      </w:r>
      <w:r w:rsidRPr="002A4216">
        <w:rPr>
          <w:rFonts w:ascii="Calibri" w:hAnsi="Calibri" w:cs="Calibri"/>
          <w:b/>
          <w:bCs/>
          <w:color w:val="000000"/>
          <w:sz w:val="20"/>
          <w:szCs w:val="20"/>
          <w:lang w:val="en-GB"/>
        </w:rPr>
        <w:t xml:space="preserve"> c</w:t>
      </w:r>
      <w:r>
        <w:rPr>
          <w:rFonts w:ascii="Calibri" w:hAnsi="Calibri" w:cs="Calibri"/>
          <w:color w:val="000000"/>
          <w:sz w:val="20"/>
          <w:szCs w:val="20"/>
          <w:lang w:val="en-GB"/>
        </w:rPr>
        <w:t xml:space="preserve"> as one vertex and (</w:t>
      </w:r>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i</w:t>
      </w:r>
      <w:r>
        <w:rPr>
          <w:rFonts w:ascii="Calibri" w:hAnsi="Calibri" w:cs="Calibri"/>
          <w:color w:val="000000"/>
          <w:sz w:val="20"/>
          <w:szCs w:val="20"/>
          <w:lang w:val="en-GB"/>
        </w:rPr>
        <w:t>,</w:t>
      </w:r>
      <w:r w:rsidR="002A4216" w:rsidRPr="002A4216">
        <w:rPr>
          <w:rFonts w:ascii="Calibri" w:hAnsi="Calibri" w:cs="Calibri"/>
          <w:b/>
          <w:bCs/>
          <w:color w:val="000000"/>
          <w:sz w:val="20"/>
          <w:szCs w:val="20"/>
          <w:lang w:val="en-GB"/>
        </w:rPr>
        <w:t xml:space="preserve"> </w:t>
      </w:r>
      <w:r w:rsidR="002A4216" w:rsidRPr="00A868A2">
        <w:rPr>
          <w:rFonts w:ascii="Calibri" w:hAnsi="Calibri" w:cs="Calibri"/>
          <w:b/>
          <w:bCs/>
          <w:color w:val="000000"/>
          <w:sz w:val="20"/>
          <w:szCs w:val="20"/>
          <w:lang w:val="en-GB"/>
        </w:rPr>
        <w:t>v</w:t>
      </w:r>
      <w:r w:rsidR="002A4216">
        <w:rPr>
          <w:rFonts w:ascii="Calibri" w:hAnsi="Calibri" w:cs="Calibri"/>
          <w:color w:val="000000"/>
          <w:sz w:val="20"/>
          <w:szCs w:val="20"/>
          <w:vertAlign w:val="subscript"/>
          <w:lang w:val="en-GB"/>
        </w:rPr>
        <w:t>i+1</w:t>
      </w:r>
      <w:r>
        <w:rPr>
          <w:rFonts w:ascii="Calibri" w:hAnsi="Calibri" w:cs="Calibri"/>
          <w:color w:val="000000"/>
          <w:sz w:val="20"/>
          <w:szCs w:val="20"/>
          <w:lang w:val="en-GB"/>
        </w:rPr>
        <w:t>) in the edge-set of the hole boundary as the other two vertices. See the image below:</w:t>
      </w:r>
    </w:p>
    <w:p w14:paraId="1C75586E" w14:textId="77777777" w:rsidR="00605234" w:rsidRPr="00A868A2" w:rsidRDefault="00605234" w:rsidP="00605234">
      <w:pPr>
        <w:pStyle w:val="ListParagraph"/>
        <w:tabs>
          <w:tab w:val="left" w:pos="566"/>
        </w:tabs>
        <w:autoSpaceDE w:val="0"/>
        <w:autoSpaceDN w:val="0"/>
        <w:adjustRightInd w:val="0"/>
        <w:spacing w:line="360" w:lineRule="atLeast"/>
        <w:ind w:left="360"/>
        <w:jc w:val="both"/>
        <w:rPr>
          <w:rFonts w:ascii="Calibri" w:hAnsi="Calibri" w:cs="Calibri"/>
          <w:color w:val="000000"/>
          <w:sz w:val="20"/>
          <w:szCs w:val="20"/>
          <w:lang w:val="en-GB"/>
        </w:rPr>
      </w:pPr>
    </w:p>
    <w:p w14:paraId="422C7100" w14:textId="614AB42F" w:rsidR="00A868A2" w:rsidRDefault="00605234" w:rsidP="00605234">
      <w:pPr>
        <w:tabs>
          <w:tab w:val="left" w:pos="566"/>
        </w:tabs>
        <w:autoSpaceDE w:val="0"/>
        <w:autoSpaceDN w:val="0"/>
        <w:adjustRightInd w:val="0"/>
        <w:spacing w:line="360" w:lineRule="atLeast"/>
        <w:ind w:left="360"/>
        <w:jc w:val="both"/>
        <w:rPr>
          <w:rFonts w:ascii="Calibri" w:hAnsi="Calibri" w:cs="Calibri"/>
          <w:color w:val="000000"/>
          <w:sz w:val="20"/>
          <w:szCs w:val="20"/>
          <w:lang w:val="en-GB"/>
        </w:rPr>
      </w:pPr>
      <w:r w:rsidRPr="00605234">
        <w:rPr>
          <w:rFonts w:ascii="Calibri" w:hAnsi="Calibri" w:cs="Calibri"/>
          <w:color w:val="000000"/>
          <w:sz w:val="20"/>
          <w:szCs w:val="20"/>
          <w:lang w:val="en-GB"/>
        </w:rPr>
        <w:drawing>
          <wp:inline distT="0" distB="0" distL="0" distR="0" wp14:anchorId="09EF5FD8" wp14:editId="245AD670">
            <wp:extent cx="1921790" cy="1671726"/>
            <wp:effectExtent l="0" t="0" r="0" b="5080"/>
            <wp:docPr id="4" name="Picture 4" descr="A picture containing shaped, decorated, toy,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1984" cy="1680593"/>
                    </a:xfrm>
                    <a:prstGeom prst="rect">
                      <a:avLst/>
                    </a:prstGeom>
                  </pic:spPr>
                </pic:pic>
              </a:graphicData>
            </a:graphic>
          </wp:inline>
        </w:drawing>
      </w:r>
    </w:p>
    <w:p w14:paraId="48ED942A" w14:textId="32C6F732" w:rsidR="00605234" w:rsidRDefault="00605234" w:rsidP="00605234">
      <w:pPr>
        <w:tabs>
          <w:tab w:val="left" w:pos="566"/>
        </w:tabs>
        <w:autoSpaceDE w:val="0"/>
        <w:autoSpaceDN w:val="0"/>
        <w:adjustRightInd w:val="0"/>
        <w:spacing w:line="360" w:lineRule="atLeast"/>
        <w:ind w:left="360"/>
        <w:jc w:val="both"/>
        <w:rPr>
          <w:rFonts w:ascii="Calibri" w:hAnsi="Calibri" w:cs="Calibri"/>
          <w:color w:val="000000"/>
          <w:sz w:val="20"/>
          <w:szCs w:val="20"/>
          <w:lang w:val="en-GB"/>
        </w:rPr>
      </w:pPr>
      <w:r>
        <w:rPr>
          <w:rFonts w:ascii="Calibri" w:hAnsi="Calibri" w:cs="Calibri"/>
          <w:color w:val="000000"/>
          <w:sz w:val="20"/>
          <w:szCs w:val="20"/>
          <w:lang w:val="en-GB"/>
        </w:rPr>
        <w:t xml:space="preserve">Note that this works well only for relatively planar and close-to-convex holes. </w:t>
      </w:r>
      <w:r w:rsidR="007E1448">
        <w:rPr>
          <w:rFonts w:ascii="Calibri" w:hAnsi="Calibri" w:cs="Calibri"/>
          <w:color w:val="000000"/>
          <w:sz w:val="20"/>
          <w:szCs w:val="20"/>
          <w:lang w:val="en-GB"/>
        </w:rPr>
        <w:t>Also, for this to work, you need to have the vertices on the hole boundary oriented consistently with the other polygons of the mesh, so that the triangles created in the fan have the same normal as the others in the mesh.</w:t>
      </w:r>
    </w:p>
    <w:p w14:paraId="160610E8" w14:textId="1E39597E" w:rsidR="007E1448" w:rsidRPr="007E1448" w:rsidRDefault="007E1448" w:rsidP="007E1448">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sidRPr="007E1448">
        <w:rPr>
          <w:rFonts w:ascii="Calibri" w:hAnsi="Calibri" w:cs="Calibri"/>
          <w:b/>
          <w:bCs/>
          <w:color w:val="000000"/>
          <w:sz w:val="20"/>
          <w:szCs w:val="20"/>
          <w:lang w:val="en-GB"/>
        </w:rPr>
        <w:t>Use hole-stitching tools:</w:t>
      </w:r>
      <w:r>
        <w:rPr>
          <w:rFonts w:ascii="Calibri" w:hAnsi="Calibri" w:cs="Calibri"/>
          <w:color w:val="000000"/>
          <w:sz w:val="20"/>
          <w:szCs w:val="20"/>
          <w:lang w:val="en-GB"/>
        </w:rPr>
        <w:t xml:space="preserve"> There are many such tools for repairing defects in meshes in packages such as </w:t>
      </w:r>
      <w:proofErr w:type="spellStart"/>
      <w:r>
        <w:rPr>
          <w:rFonts w:ascii="Calibri" w:hAnsi="Calibri" w:cs="Calibri"/>
          <w:color w:val="000000"/>
          <w:sz w:val="20"/>
          <w:szCs w:val="20"/>
          <w:lang w:val="en-GB"/>
        </w:rPr>
        <w:t>Trimesh</w:t>
      </w:r>
      <w:proofErr w:type="spellEnd"/>
      <w:r>
        <w:rPr>
          <w:rFonts w:ascii="Calibri" w:hAnsi="Calibri" w:cs="Calibri"/>
          <w:color w:val="000000"/>
          <w:sz w:val="20"/>
          <w:szCs w:val="20"/>
          <w:lang w:val="en-GB"/>
        </w:rPr>
        <w:t>, MeshLab, or PMP. They are far better than the simple heuristic outlined above, especially for large and non-planar holes. However, they need a bit more reading and experimentation (and possibly coding) to get started with.</w:t>
      </w:r>
    </w:p>
    <w:p w14:paraId="4B1EF42A" w14:textId="77777777" w:rsidR="006C2654" w:rsidRPr="00BC52C2" w:rsidRDefault="006C265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736A00DF" w14:textId="77777777" w:rsidR="006C2654" w:rsidRDefault="006C2654" w:rsidP="003B68F4">
      <w:pPr>
        <w:tabs>
          <w:tab w:val="left" w:pos="566"/>
        </w:tabs>
        <w:autoSpaceDE w:val="0"/>
        <w:autoSpaceDN w:val="0"/>
        <w:adjustRightInd w:val="0"/>
        <w:spacing w:line="360" w:lineRule="atLeast"/>
        <w:jc w:val="both"/>
        <w:rPr>
          <w:rFonts w:ascii="Calibri" w:hAnsi="Calibri" w:cs="Calibri"/>
          <w:b/>
          <w:bCs/>
          <w:color w:val="000000"/>
          <w:sz w:val="20"/>
          <w:szCs w:val="20"/>
          <w:lang w:val="en-GB"/>
        </w:rPr>
      </w:pPr>
    </w:p>
    <w:p w14:paraId="3EEE16AE" w14:textId="77777777" w:rsidR="006C2654" w:rsidRDefault="006C2654" w:rsidP="003B68F4">
      <w:pPr>
        <w:tabs>
          <w:tab w:val="left" w:pos="566"/>
        </w:tabs>
        <w:autoSpaceDE w:val="0"/>
        <w:autoSpaceDN w:val="0"/>
        <w:adjustRightInd w:val="0"/>
        <w:spacing w:line="360" w:lineRule="atLeast"/>
        <w:jc w:val="both"/>
        <w:rPr>
          <w:rFonts w:ascii="Calibri" w:hAnsi="Calibri" w:cs="Calibri"/>
          <w:b/>
          <w:bCs/>
          <w:color w:val="000000"/>
          <w:sz w:val="20"/>
          <w:szCs w:val="20"/>
          <w:lang w:val="en-GB"/>
        </w:rPr>
      </w:pPr>
    </w:p>
    <w:p w14:paraId="000E2F40" w14:textId="2057D4AE" w:rsidR="003B68F4" w:rsidRPr="003B68F4" w:rsidRDefault="007E1448" w:rsidP="003B68F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Pr>
          <w:rFonts w:ascii="Calibri" w:hAnsi="Calibri" w:cs="Calibri"/>
          <w:b/>
          <w:bCs/>
          <w:color w:val="000000"/>
          <w:sz w:val="20"/>
          <w:szCs w:val="20"/>
          <w:lang w:val="en-GB"/>
        </w:rPr>
        <w:t>2</w:t>
      </w:r>
      <w:r w:rsidR="003B68F4" w:rsidRPr="003B68F4">
        <w:rPr>
          <w:rFonts w:ascii="Calibri" w:hAnsi="Calibri" w:cs="Calibri"/>
          <w:b/>
          <w:bCs/>
          <w:color w:val="000000"/>
          <w:sz w:val="20"/>
          <w:szCs w:val="20"/>
          <w:lang w:val="en-GB"/>
        </w:rPr>
        <w:t xml:space="preserve">. </w:t>
      </w:r>
      <w:r w:rsidR="002F4A2F">
        <w:rPr>
          <w:rFonts w:ascii="Calibri" w:hAnsi="Calibri" w:cs="Calibri"/>
          <w:b/>
          <w:bCs/>
          <w:color w:val="000000"/>
          <w:sz w:val="20"/>
          <w:szCs w:val="20"/>
          <w:lang w:val="en-GB"/>
        </w:rPr>
        <w:t>Checking feature extraction</w:t>
      </w:r>
    </w:p>
    <w:p w14:paraId="2E189089" w14:textId="2DFEAE83" w:rsidR="002F4A2F" w:rsidRDefault="007E1448" w:rsidP="002F4A2F">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In Step 3, you will compute numerous descriptors, e.g. area, volume, compactness, A3, D1, …., D4. How to check that their computation went well? There are several steps to doing this:</w:t>
      </w:r>
    </w:p>
    <w:p w14:paraId="422544C6" w14:textId="2ACC3832" w:rsidR="007E1448" w:rsidRDefault="007E1448" w:rsidP="002F4A2F">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7794AEF3" w14:textId="738BD816" w:rsidR="007E1448" w:rsidRDefault="007E1448" w:rsidP="007E1448">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Observe that there are essentially two kinds of descriptors: </w:t>
      </w:r>
      <w:r w:rsidRPr="007E1448">
        <w:rPr>
          <w:rFonts w:ascii="Calibri" w:hAnsi="Calibri" w:cs="Calibri"/>
          <w:i/>
          <w:iCs/>
          <w:color w:val="000000"/>
          <w:sz w:val="20"/>
          <w:szCs w:val="20"/>
          <w:lang w:val="en-GB"/>
        </w:rPr>
        <w:t>Scalar</w:t>
      </w:r>
      <w:r>
        <w:rPr>
          <w:rFonts w:ascii="Calibri" w:hAnsi="Calibri" w:cs="Calibri"/>
          <w:color w:val="000000"/>
          <w:sz w:val="20"/>
          <w:szCs w:val="20"/>
          <w:lang w:val="en-GB"/>
        </w:rPr>
        <w:t xml:space="preserve"> ones, represented by a single value (e.g. area, perimeter, compactness); and </w:t>
      </w:r>
      <w:r w:rsidRPr="007E1448">
        <w:rPr>
          <w:rFonts w:ascii="Calibri" w:hAnsi="Calibri" w:cs="Calibri"/>
          <w:i/>
          <w:iCs/>
          <w:color w:val="000000"/>
          <w:sz w:val="20"/>
          <w:szCs w:val="20"/>
          <w:lang w:val="en-GB"/>
        </w:rPr>
        <w:t>distribution</w:t>
      </w:r>
      <w:r>
        <w:rPr>
          <w:rFonts w:ascii="Calibri" w:hAnsi="Calibri" w:cs="Calibri"/>
          <w:color w:val="000000"/>
          <w:sz w:val="20"/>
          <w:szCs w:val="20"/>
          <w:lang w:val="en-GB"/>
        </w:rPr>
        <w:t xml:space="preserve"> ones, represented by a histogram (A3, D1, …, D4). </w:t>
      </w:r>
    </w:p>
    <w:p w14:paraId="56EDBDD3" w14:textId="30B89C74" w:rsidR="007E1448" w:rsidRDefault="007E1448" w:rsidP="007E1448">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Pick, manually, a few </w:t>
      </w:r>
      <w:r w:rsidR="00A06FF7">
        <w:rPr>
          <w:rFonts w:ascii="Calibri" w:hAnsi="Calibri" w:cs="Calibri"/>
          <w:color w:val="000000"/>
          <w:sz w:val="20"/>
          <w:szCs w:val="20"/>
          <w:lang w:val="en-GB"/>
        </w:rPr>
        <w:t>(</w:t>
      </w:r>
      <w:proofErr w:type="gramStart"/>
      <w:r w:rsidR="00A06FF7">
        <w:rPr>
          <w:rFonts w:ascii="Calibri" w:hAnsi="Calibri" w:cs="Calibri"/>
          <w:color w:val="000000"/>
          <w:sz w:val="20"/>
          <w:szCs w:val="20"/>
          <w:lang w:val="en-GB"/>
        </w:rPr>
        <w:t>2..</w:t>
      </w:r>
      <w:proofErr w:type="gramEnd"/>
      <w:r w:rsidR="00A06FF7">
        <w:rPr>
          <w:rFonts w:ascii="Calibri" w:hAnsi="Calibri" w:cs="Calibri"/>
          <w:color w:val="000000"/>
          <w:sz w:val="20"/>
          <w:szCs w:val="20"/>
          <w:lang w:val="en-GB"/>
        </w:rPr>
        <w:t xml:space="preserve">3) shapes which you know that they should be very different from the perspective of each descriptor. For example, considering volume, pick a skinny shape (pencil, chair, table) and a fat shape (bunny, ball, car). Then, show the shapes and their respective descriptor values. You should see if the descriptors agree with what you visually see. Note that their </w:t>
      </w:r>
      <w:r w:rsidR="00A06FF7">
        <w:rPr>
          <w:rFonts w:ascii="Calibri" w:hAnsi="Calibri" w:cs="Calibri"/>
          <w:i/>
          <w:iCs/>
          <w:color w:val="000000"/>
          <w:sz w:val="20"/>
          <w:szCs w:val="20"/>
          <w:lang w:val="en-GB"/>
        </w:rPr>
        <w:t>absolute</w:t>
      </w:r>
      <w:r w:rsidR="00A06FF7">
        <w:rPr>
          <w:rFonts w:ascii="Calibri" w:hAnsi="Calibri" w:cs="Calibri"/>
          <w:color w:val="000000"/>
          <w:sz w:val="20"/>
          <w:szCs w:val="20"/>
          <w:lang w:val="en-GB"/>
        </w:rPr>
        <w:t xml:space="preserve"> values are not important, but their </w:t>
      </w:r>
      <w:r w:rsidR="00A06FF7">
        <w:rPr>
          <w:rFonts w:ascii="Calibri" w:hAnsi="Calibri" w:cs="Calibri"/>
          <w:i/>
          <w:iCs/>
          <w:color w:val="000000"/>
          <w:sz w:val="20"/>
          <w:szCs w:val="20"/>
          <w:lang w:val="en-GB"/>
        </w:rPr>
        <w:t>relative</w:t>
      </w:r>
      <w:r w:rsidR="00A06FF7">
        <w:rPr>
          <w:rFonts w:ascii="Calibri" w:hAnsi="Calibri" w:cs="Calibri"/>
          <w:color w:val="000000"/>
          <w:sz w:val="20"/>
          <w:szCs w:val="20"/>
          <w:lang w:val="en-GB"/>
        </w:rPr>
        <w:t xml:space="preserve"> ones (ratios). For instance, if a ball appears to be 10 times ‘fatter’ than a pencil, then its volume should be roughly 10 times larger than the one of the </w:t>
      </w:r>
      <w:proofErr w:type="gramStart"/>
      <w:r w:rsidR="00A06FF7">
        <w:rPr>
          <w:rFonts w:ascii="Calibri" w:hAnsi="Calibri" w:cs="Calibri"/>
          <w:color w:val="000000"/>
          <w:sz w:val="20"/>
          <w:szCs w:val="20"/>
          <w:lang w:val="en-GB"/>
        </w:rPr>
        <w:t>pencil</w:t>
      </w:r>
      <w:proofErr w:type="gramEnd"/>
      <w:r w:rsidR="00A06FF7">
        <w:rPr>
          <w:rFonts w:ascii="Calibri" w:hAnsi="Calibri" w:cs="Calibri"/>
          <w:color w:val="000000"/>
          <w:sz w:val="20"/>
          <w:szCs w:val="20"/>
          <w:lang w:val="en-GB"/>
        </w:rPr>
        <w:t xml:space="preserve">. Note that </w:t>
      </w:r>
      <w:r w:rsidR="00A06FF7">
        <w:rPr>
          <w:rFonts w:ascii="Calibri" w:hAnsi="Calibri" w:cs="Calibri"/>
          <w:i/>
          <w:iCs/>
          <w:color w:val="000000"/>
          <w:sz w:val="20"/>
          <w:szCs w:val="20"/>
          <w:lang w:val="en-GB"/>
        </w:rPr>
        <w:t>normalization</w:t>
      </w:r>
      <w:r w:rsidR="00A06FF7">
        <w:rPr>
          <w:rFonts w:ascii="Calibri" w:hAnsi="Calibri" w:cs="Calibri"/>
          <w:color w:val="000000"/>
          <w:sz w:val="20"/>
          <w:szCs w:val="20"/>
          <w:lang w:val="en-GB"/>
        </w:rPr>
        <w:t xml:space="preserve"> is essential here: The above comparison can only be made if the two shapes are scaled to the same bounding-box (e.g. unit-sized cube).</w:t>
      </w:r>
    </w:p>
    <w:p w14:paraId="3556CB22" w14:textId="10A7FFAD" w:rsidR="00A06FF7" w:rsidRDefault="00A06FF7" w:rsidP="007E1448">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For some descriptors, it is possible to assess their actual </w:t>
      </w:r>
      <w:r>
        <w:rPr>
          <w:rFonts w:ascii="Calibri" w:hAnsi="Calibri" w:cs="Calibri"/>
          <w:i/>
          <w:iCs/>
          <w:color w:val="000000"/>
          <w:sz w:val="20"/>
          <w:szCs w:val="20"/>
          <w:lang w:val="en-GB"/>
        </w:rPr>
        <w:t xml:space="preserve">absolute </w:t>
      </w:r>
      <w:r>
        <w:rPr>
          <w:rFonts w:ascii="Calibri" w:hAnsi="Calibri" w:cs="Calibri"/>
          <w:color w:val="000000"/>
          <w:sz w:val="20"/>
          <w:szCs w:val="20"/>
          <w:lang w:val="en-GB"/>
        </w:rPr>
        <w:t xml:space="preserve">values. For example, eccentricity is really how much longer than thicker a shape is, something that you can visually check quite easily. </w:t>
      </w:r>
    </w:p>
    <w:p w14:paraId="18085994" w14:textId="6FF601B7" w:rsidR="00A06FF7" w:rsidRPr="007E1448" w:rsidRDefault="00A06FF7" w:rsidP="007E1448">
      <w:pPr>
        <w:pStyle w:val="ListParagraph"/>
        <w:numPr>
          <w:ilvl w:val="0"/>
          <w:numId w:val="12"/>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Histogram descriptors are pretty abstract by definition. Hence, here you cannot easily relate them to actual properties you </w:t>
      </w:r>
      <w:r>
        <w:rPr>
          <w:rFonts w:ascii="Calibri" w:hAnsi="Calibri" w:cs="Calibri"/>
          <w:i/>
          <w:iCs/>
          <w:color w:val="000000"/>
          <w:sz w:val="20"/>
          <w:szCs w:val="20"/>
          <w:lang w:val="en-GB"/>
        </w:rPr>
        <w:t>see</w:t>
      </w:r>
      <w:r>
        <w:rPr>
          <w:rFonts w:ascii="Calibri" w:hAnsi="Calibri" w:cs="Calibri"/>
          <w:color w:val="000000"/>
          <w:sz w:val="20"/>
          <w:szCs w:val="20"/>
          <w:lang w:val="en-GB"/>
        </w:rPr>
        <w:t xml:space="preserve"> in a shape. You can check them however based on the assumption that they should deliver similar values for similar shapes and different values for different shapes. To test this: pick 3 shapes, two of a very similar kind (e.g. in the same class), and one of a very different kind (in a different class). Show the shapes and their respective histograms. The first two histograms should be quite similar, and both quite different from the third one.</w:t>
      </w:r>
    </w:p>
    <w:p w14:paraId="25C8407F" w14:textId="0E5F025C" w:rsidR="002F4A2F" w:rsidRDefault="002F4A2F" w:rsidP="002F4A2F">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6DEA3C11" w14:textId="4E0F3E4D" w:rsidR="002F4A2F" w:rsidRDefault="002F4A2F" w:rsidP="002F4A2F">
      <w:pPr>
        <w:tabs>
          <w:tab w:val="left" w:pos="566"/>
        </w:tabs>
        <w:autoSpaceDE w:val="0"/>
        <w:autoSpaceDN w:val="0"/>
        <w:adjustRightInd w:val="0"/>
        <w:spacing w:line="360" w:lineRule="atLeast"/>
        <w:jc w:val="both"/>
        <w:rPr>
          <w:rFonts w:ascii="Calibri" w:hAnsi="Calibri" w:cs="Calibri"/>
          <w:color w:val="000000"/>
          <w:sz w:val="20"/>
          <w:szCs w:val="20"/>
          <w:lang w:val="en-GB"/>
        </w:rPr>
      </w:pPr>
    </w:p>
    <w:sectPr w:rsidR="002F4A2F" w:rsidSect="00F674C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D3F2D"/>
    <w:multiLevelType w:val="hybridMultilevel"/>
    <w:tmpl w:val="C0F4DE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1B1E06"/>
    <w:multiLevelType w:val="hybridMultilevel"/>
    <w:tmpl w:val="EEBAD46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80A6E4C"/>
    <w:multiLevelType w:val="hybridMultilevel"/>
    <w:tmpl w:val="6142B8FA"/>
    <w:lvl w:ilvl="0" w:tplc="E68C3EA2">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4AC5704"/>
    <w:multiLevelType w:val="hybridMultilevel"/>
    <w:tmpl w:val="82E28ED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3AF87FF8"/>
    <w:multiLevelType w:val="hybridMultilevel"/>
    <w:tmpl w:val="39D8654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3DF76A5E"/>
    <w:multiLevelType w:val="hybridMultilevel"/>
    <w:tmpl w:val="3CF2713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5F9A4F5B"/>
    <w:multiLevelType w:val="hybridMultilevel"/>
    <w:tmpl w:val="277C07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645B3F58"/>
    <w:multiLevelType w:val="hybridMultilevel"/>
    <w:tmpl w:val="A31E67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6D5E6DB0"/>
    <w:multiLevelType w:val="hybridMultilevel"/>
    <w:tmpl w:val="8168DD5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70F955EE"/>
    <w:multiLevelType w:val="hybridMultilevel"/>
    <w:tmpl w:val="962217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74C6B92"/>
    <w:multiLevelType w:val="hybridMultilevel"/>
    <w:tmpl w:val="5936EED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7CC566B0"/>
    <w:multiLevelType w:val="hybridMultilevel"/>
    <w:tmpl w:val="602A97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6"/>
  </w:num>
  <w:num w:numId="3">
    <w:abstractNumId w:val="1"/>
  </w:num>
  <w:num w:numId="4">
    <w:abstractNumId w:val="7"/>
  </w:num>
  <w:num w:numId="5">
    <w:abstractNumId w:val="4"/>
  </w:num>
  <w:num w:numId="6">
    <w:abstractNumId w:val="10"/>
  </w:num>
  <w:num w:numId="7">
    <w:abstractNumId w:val="0"/>
  </w:num>
  <w:num w:numId="8">
    <w:abstractNumId w:val="3"/>
  </w:num>
  <w:num w:numId="9">
    <w:abstractNumId w:val="9"/>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F4"/>
    <w:rsid w:val="000B2CB5"/>
    <w:rsid w:val="001053D4"/>
    <w:rsid w:val="00225636"/>
    <w:rsid w:val="00232185"/>
    <w:rsid w:val="00284F1D"/>
    <w:rsid w:val="002A4216"/>
    <w:rsid w:val="002E0BB9"/>
    <w:rsid w:val="002F4A2F"/>
    <w:rsid w:val="00334864"/>
    <w:rsid w:val="0039093F"/>
    <w:rsid w:val="003B68F4"/>
    <w:rsid w:val="004F32E9"/>
    <w:rsid w:val="00551DC7"/>
    <w:rsid w:val="005E7C9A"/>
    <w:rsid w:val="00605234"/>
    <w:rsid w:val="0064436D"/>
    <w:rsid w:val="006C2654"/>
    <w:rsid w:val="006D5D48"/>
    <w:rsid w:val="00710678"/>
    <w:rsid w:val="0073470F"/>
    <w:rsid w:val="00745481"/>
    <w:rsid w:val="00770984"/>
    <w:rsid w:val="0078378E"/>
    <w:rsid w:val="007A3697"/>
    <w:rsid w:val="007E1448"/>
    <w:rsid w:val="00802AC2"/>
    <w:rsid w:val="00861C3B"/>
    <w:rsid w:val="008E7B55"/>
    <w:rsid w:val="0096590D"/>
    <w:rsid w:val="00987F94"/>
    <w:rsid w:val="00A06FF7"/>
    <w:rsid w:val="00A5000E"/>
    <w:rsid w:val="00A868A2"/>
    <w:rsid w:val="00B800F0"/>
    <w:rsid w:val="00BC52C2"/>
    <w:rsid w:val="00BD7372"/>
    <w:rsid w:val="00C24866"/>
    <w:rsid w:val="00C648CF"/>
    <w:rsid w:val="00C83054"/>
    <w:rsid w:val="00CF7A35"/>
    <w:rsid w:val="00DA477F"/>
    <w:rsid w:val="00DE5F14"/>
    <w:rsid w:val="00E2126B"/>
    <w:rsid w:val="00E5266B"/>
    <w:rsid w:val="00E807DD"/>
    <w:rsid w:val="00EC06C8"/>
    <w:rsid w:val="00EF2000"/>
    <w:rsid w:val="00FB697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BD599"/>
  <w15:chartTrackingRefBased/>
  <w15:docId w15:val="{DA0AD6B8-9B29-4345-8E87-4FCFA463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8F4"/>
    <w:pPr>
      <w:ind w:left="720"/>
      <w:contextualSpacing/>
    </w:pPr>
  </w:style>
  <w:style w:type="character" w:styleId="Hyperlink">
    <w:name w:val="Hyperlink"/>
    <w:basedOn w:val="DefaultParagraphFont"/>
    <w:uiPriority w:val="99"/>
    <w:unhideWhenUsed/>
    <w:rsid w:val="00225636"/>
    <w:rPr>
      <w:color w:val="0563C1" w:themeColor="hyperlink"/>
      <w:u w:val="single"/>
    </w:rPr>
  </w:style>
  <w:style w:type="character" w:styleId="UnresolvedMention">
    <w:name w:val="Unresolved Mention"/>
    <w:basedOn w:val="DefaultParagraphFont"/>
    <w:uiPriority w:val="99"/>
    <w:semiHidden/>
    <w:unhideWhenUsed/>
    <w:rsid w:val="00225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Telea, A.C. (Alex)</dc:creator>
  <cp:keywords/>
  <dc:description/>
  <cp:lastModifiedBy>Telea, A.C. (Alex)</cp:lastModifiedBy>
  <cp:revision>32</cp:revision>
  <dcterms:created xsi:type="dcterms:W3CDTF">2020-09-15T10:03:00Z</dcterms:created>
  <dcterms:modified xsi:type="dcterms:W3CDTF">2020-09-30T20:23:00Z</dcterms:modified>
</cp:coreProperties>
</file>